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04" w:rsidRPr="00EF4A04" w:rsidRDefault="00EF4A04" w:rsidP="00EF4A0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2377A"/>
          <w:sz w:val="26"/>
          <w:szCs w:val="26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22377A"/>
          <w:sz w:val="26"/>
          <w:szCs w:val="26"/>
          <w:lang w:eastAsia="it-IT"/>
        </w:rPr>
        <w:t>ATTO CAMERA</w:t>
      </w:r>
    </w:p>
    <w:p w:rsidR="00EF4A04" w:rsidRPr="00EF4A04" w:rsidRDefault="00EF4A04" w:rsidP="00EF4A0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2377A"/>
          <w:sz w:val="26"/>
          <w:szCs w:val="26"/>
          <w:lang w:eastAsia="it-IT"/>
        </w:rPr>
      </w:pPr>
      <w:bookmarkStart w:id="0" w:name="_GoBack"/>
      <w:r w:rsidRPr="00EF4A04">
        <w:rPr>
          <w:rFonts w:ascii="Arial" w:eastAsia="Times New Roman" w:hAnsi="Arial" w:cs="Arial"/>
          <w:b/>
          <w:bCs/>
          <w:color w:val="22377A"/>
          <w:sz w:val="26"/>
          <w:szCs w:val="26"/>
          <w:lang w:eastAsia="it-IT"/>
        </w:rPr>
        <w:t>INTERPELLANZA 2/00886</w:t>
      </w:r>
    </w:p>
    <w:bookmarkEnd w:id="0"/>
    <w:p w:rsidR="00EF4A04" w:rsidRPr="00EF4A04" w:rsidRDefault="00EF4A04" w:rsidP="00EF4A04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  <w:t>Dati di presentazione dell'atto</w:t>
      </w:r>
    </w:p>
    <w:p w:rsidR="00EF4A04" w:rsidRPr="00EF4A04" w:rsidRDefault="00EF4A04" w:rsidP="00EF4A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Legislatura: 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18</w:t>
      </w:r>
    </w:p>
    <w:p w:rsidR="00EF4A04" w:rsidRPr="00EF4A04" w:rsidRDefault="00EF4A04" w:rsidP="00EF4A04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Seduta di annuncio: 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381 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del 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28/07/2020</w:t>
      </w:r>
    </w:p>
    <w:p w:rsidR="00EF4A04" w:rsidRPr="00EF4A04" w:rsidRDefault="00EF4A04" w:rsidP="00EF4A04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  <w:t>Firmatari</w:t>
      </w:r>
    </w:p>
    <w:p w:rsidR="00EF4A04" w:rsidRPr="00EF4A04" w:rsidRDefault="00EF4A04" w:rsidP="00EF4A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Primo firmatario: </w:t>
      </w:r>
      <w:hyperlink r:id="rId6" w:tooltip="Link alla scheda del Deputato" w:history="1">
        <w:r w:rsidRPr="00EF4A04">
          <w:rPr>
            <w:rFonts w:ascii="Arial" w:eastAsia="Times New Roman" w:hAnsi="Arial" w:cs="Arial"/>
            <w:color w:val="4D5D96"/>
            <w:sz w:val="24"/>
            <w:szCs w:val="24"/>
            <w:lang w:eastAsia="it-IT"/>
          </w:rPr>
          <w:t>STUMPO NICOLA</w:t>
        </w:r>
      </w:hyperlink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Gruppo: 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LIBERI E UGUALI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Data firma: 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28/07/2020</w:t>
      </w:r>
    </w:p>
    <w:p w:rsidR="00EF4A04" w:rsidRPr="00EF4A04" w:rsidRDefault="00EF4A04" w:rsidP="00EF4A0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F4A04" w:rsidRPr="00EF4A04" w:rsidRDefault="00EF4A04" w:rsidP="00EF4A04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  <w:t>Destinatari</w:t>
      </w:r>
    </w:p>
    <w:p w:rsidR="00EF4A04" w:rsidRPr="00EF4A04" w:rsidRDefault="00EF4A04" w:rsidP="00EF4A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Ministero destinatario:</w:t>
      </w:r>
    </w:p>
    <w:p w:rsidR="00EF4A04" w:rsidRPr="00EF4A04" w:rsidRDefault="00EF4A04" w:rsidP="00EF4A04">
      <w:pPr>
        <w:numPr>
          <w:ilvl w:val="0"/>
          <w:numId w:val="1"/>
        </w:numPr>
        <w:spacing w:after="100" w:line="240" w:lineRule="auto"/>
        <w:ind w:left="159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MINISTERO DELL'INTERNO</w:t>
      </w:r>
    </w:p>
    <w:p w:rsidR="00EF4A04" w:rsidRPr="00EF4A04" w:rsidRDefault="00EF4A04" w:rsidP="00EF4A04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Attuale delegato a rispondere: 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MINISTERO DELL'INTERNO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 delegato in data 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28/07/2020</w:t>
      </w:r>
    </w:p>
    <w:p w:rsidR="00EF4A04" w:rsidRPr="00EF4A04" w:rsidRDefault="00EF4A04" w:rsidP="00EF4A04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22377A"/>
          <w:sz w:val="24"/>
          <w:szCs w:val="24"/>
          <w:lang w:eastAsia="it-IT"/>
        </w:rPr>
        <w:t>Stato iter: </w:t>
      </w:r>
    </w:p>
    <w:p w:rsidR="00EF4A04" w:rsidRPr="00EF4A04" w:rsidRDefault="00EF4A04" w:rsidP="00EF4A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CORSO</w:t>
      </w:r>
    </w:p>
    <w:p w:rsidR="00EF4A04" w:rsidRPr="00EF4A04" w:rsidRDefault="00EF4A04" w:rsidP="00EF4A04">
      <w:pPr>
        <w:shd w:val="clear" w:color="auto" w:fill="F1F4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Atto Camera</w:t>
      </w:r>
      <w:r w:rsidRPr="00EF4A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/>
      </w:r>
      <w:r w:rsidRPr="00EF4A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/>
        <w:t>Interpellanza 2-00886</w:t>
      </w:r>
    </w:p>
    <w:p w:rsidR="00EF4A04" w:rsidRPr="00EF4A04" w:rsidRDefault="00EF4A04" w:rsidP="00EF4A04">
      <w:pPr>
        <w:shd w:val="clear" w:color="auto" w:fill="F1F4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presentato da</w:t>
      </w:r>
    </w:p>
    <w:p w:rsidR="00EF4A04" w:rsidRPr="00EF4A04" w:rsidRDefault="00EF4A04" w:rsidP="00EF4A04">
      <w:pPr>
        <w:shd w:val="clear" w:color="auto" w:fill="F1F4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STUMPO Nicola</w:t>
      </w:r>
    </w:p>
    <w:p w:rsidR="00EF4A04" w:rsidRPr="00EF4A04" w:rsidRDefault="00EF4A04" w:rsidP="00EF4A04">
      <w:pPr>
        <w:shd w:val="clear" w:color="auto" w:fill="F1F4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testo di</w:t>
      </w:r>
    </w:p>
    <w:p w:rsidR="00EF4A04" w:rsidRPr="00EF4A04" w:rsidRDefault="00EF4A04" w:rsidP="00EF4A04">
      <w:pPr>
        <w:shd w:val="clear" w:color="auto" w:fill="F1F4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Martedì 28 luglio 2020, seduta n. 381</w:t>
      </w:r>
    </w:p>
    <w:p w:rsidR="00EF4A04" w:rsidRPr="00EF4A04" w:rsidRDefault="00EF4A04" w:rsidP="00EF4A04">
      <w:pPr>
        <w:shd w:val="clear" w:color="auto" w:fill="F1F4FF"/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  Il sottoscritto chiede di interpellare il Ministro dell'interno, per sapere – premesso che: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città di Messina – come si legge nella relazione del Ministro dell'interno al Parlamento sulle attività svolte e i risultati della Direzione investigativa antimafia relativa al periodo luglio-dicembre 2019 – si caratterizza per «l'operatività e la posizione di indiscussa supremazia di una “cellula” di Cosa nostra catanese, nei confronti della quale i clan locali – stabili nei singoli quartieri secondo una consolidata geografia – tendono a non entrare in contrasto. Questa “cellula” era espressione del sodalizio denominato “Romeo-Santapaola”, che, in maniera silente, ha proiettato i propri interessi in diversi settori dell'imprenditoria e della pubblica amministrazione. [...] Ferma restando l'estensione della cosiddetta cellula Romeo-Santapaola su tutta la città di Messina, la criminalità organizzata storica della città continua a strutturarsi secondo competenze rionali, con gruppi a connotazione familiare, che tendono ad agire in autonomia»;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mafie esercitano il controllo del territorio, non solo attraverso le tradizionali attività di 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racket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estorsioni e usura, ma anche attraverso azioni dalla forte valenza simbolica, nei territori in cui alla presenza strutturata si affianca una mentalità criminogena diffusa;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assumono particolare rilevanza le corse clandestine dei cavalli che, insieme agli aspetti legati alle scommesse illegali, al rischio per la incolumità di persone e animali, si caratterizzano come una manifestazione dello strapotere delle mafie che si appropriano di porzioni del territorio coinvolgendo decine di giovani, realizzando un vero e proprio rito collettivo che esalta l'illegalità e un sistema di disvalori pericolosamente capace di coinvolgere e aggregare, anche attraverso l'uso spregiudicato dei 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social network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diverse operazioni delle forze dell'ordine e procedimenti penali segnalano questa evidenza: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processo denominato Totem (aprile 2020) seguito all'inchiesta, coordinata dalla Direzione investigativa antimafia di Messina guidata da Maurizio De Lucia, ha svelato che, nella zona nord della città di Messina – quartiere Giostra – opera il gruppo criminale dei 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Galli-Tibia, storicamente dedito alla gestione delle gare clandestine di cavalli e alle relative scommesse, oltre che all'istallazione illegale di videopoker e al controllo di locali notturni nella riviera nord del capoluogo;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nelle motivazioni della sentenza «Beta 2», del settembre 2019 dal giudice per le udienze preliminari Monica Marino si legge «La presente associazione (famiglia Romeo-Santapaola) ha diversificato le proprie attività dividendo i compiti fra gli affiliati, ognuno specializzato in uno specifico settore (corse clandestine di cavalli e scommesse, [...] gioco 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online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[...] raccolta di scommesse illegali su eventi sportivi, tramite piattaforme informatiche straniere non autorizzate ad operare in Italia, investimenti e controllo di attività del settore farmaceutico)»;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processo (2018) seguito all'operazione </w:t>
      </w:r>
      <w:proofErr w:type="spellStart"/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Zikka</w:t>
      </w:r>
      <w:proofErr w:type="spellEnd"/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l'inchiesta dei carabinieri sul giro di scommesse clandestine intorno alle corse di cavalli nelle zone di Santa Margherita, nell'area in cui si trovano gli edifici del Coordinamento di Edilizia popolare (</w:t>
      </w:r>
      <w:proofErr w:type="spellStart"/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Cep</w:t>
      </w:r>
      <w:proofErr w:type="spellEnd"/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in viale Giostra e Gazzi, ha evidenziato una rete di soggetti che organizzavano il «palio» clandestino e ne gestivano le scommesse. Al centro degli accertamenti, la gestione dei cavalli e di tutte le fasi «preparatorie», dagli allenamenti al contatto con i veterinari, che poi somministravano agli animali sostanze dopanti per aumentarne le prestazioni. Alcuni soggetti avevano anche il compito di fantini, mentre altri si occupavano di raccogliere le scommesse e incassare i proventi;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ancora il 25 giugno 2020, come segnalato da testate giornalistiche e come rintracciabile da diversi video pubblicati sui principali 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social network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si è svolta l'ennesima corsa clandestina di cavalli nel quartiere Giostra della città di Messina, coinvolgendo decine di 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scooter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che, di fatto, delimitavano il «circuito» sottratto alle regole dello Stato di diritto e privatizzato a beneficio delle mafie;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solo per un puro caso fortuito uno dei due «fantini», caduto dal calesse, in mezzo ai motorini in corsa, dopo che il cavallo era andato a finire contro un </w:t>
      </w:r>
      <w:proofErr w:type="spellStart"/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guard</w:t>
      </w:r>
      <w:proofErr w:type="spellEnd"/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rail</w:t>
      </w:r>
      <w:proofErr w:type="spellEnd"/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non ha subito lesioni gravi o messo a rischio la propria incolumità;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perpetuarsi di tali manifestazioni, oltre a generare un flusso di proventi illeciti legati alle scommesse illegali e a mettere in serio pericolo la salute di animali pesantemente dopati e persone in una condizione di sostanziale rischio per la velocità e la vicinanza con </w:t>
      </w:r>
      <w:r w:rsidRPr="00EF4A0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scooter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 motorini, riafferma in maniera inequivocabile il potere delle cosche e il loro predominio sul territorio;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dalle immagini e da alcune segnalazioni emerge come la presenza di giovani e giovanissimi, in taluni casi anche minorenni, trasformi questa manifestazione di illegalità in una sorta di rito iniziatico rispetto all'adesione ai disvalori delle mafie;</w:t>
      </w:r>
    </w:p>
    <w:p w:rsidR="00EF4A04" w:rsidRPr="00EF4A04" w:rsidRDefault="00EF4A04" w:rsidP="00EF4A04">
      <w:pPr>
        <w:shd w:val="clear" w:color="auto" w:fill="F1F4FF"/>
        <w:spacing w:before="240" w:after="24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infine, non è tollerabile né accettabile che porzioni di territorio possano essere sottratte alla giurisdizione dello Stato per diventare zone franche senza regole e leggi –:</w:t>
      </w:r>
    </w:p>
    <w:p w:rsidR="00EF4A04" w:rsidRPr="00EF4A04" w:rsidRDefault="00EF4A04" w:rsidP="00EF4A04">
      <w:pPr>
        <w:shd w:val="clear" w:color="auto" w:fill="F1F4FF"/>
        <w:spacing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quali iniziative di controllo del territorio e di prevenzione e di contrasto della criminalità abbia messo o intenda mettere in atto, per il tramite della prefettura di Messina, anche attraverso l'attivazione delle competenze e delle risorse del «Comitato Provinciale per l'Ordine e la Sicurezza Pubblica», con il pieno coinvolgimento degli enti pubblici e delle amministrazioni locali.</w:t>
      </w:r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(2-00886) «</w:t>
      </w:r>
      <w:bookmarkStart w:id="1" w:name="idAnagrafe.306139"/>
      <w:proofErr w:type="spellStart"/>
      <w:r w:rsidRPr="00EF4A04">
        <w:rPr>
          <w:rFonts w:ascii="Arial" w:eastAsia="Times New Roman" w:hAnsi="Arial" w:cs="Arial"/>
          <w:color w:val="4D5D96"/>
          <w:sz w:val="24"/>
          <w:szCs w:val="24"/>
          <w:lang w:eastAsia="it-IT"/>
        </w:rPr>
        <w:t>Stumpo</w:t>
      </w:r>
      <w:bookmarkEnd w:id="1"/>
      <w:proofErr w:type="spellEnd"/>
      <w:r w:rsidRPr="00EF4A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».</w:t>
      </w:r>
    </w:p>
    <w:p w:rsidR="00724617" w:rsidRDefault="00724617"/>
    <w:sectPr w:rsidR="00724617" w:rsidSect="00EF4A0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30A3"/>
    <w:multiLevelType w:val="multilevel"/>
    <w:tmpl w:val="297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04"/>
    <w:rsid w:val="00724617"/>
    <w:rsid w:val="00E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F4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EF4A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F4A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F4A04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nominativo">
    <w:name w:val="nominativo"/>
    <w:basedOn w:val="Carpredefinitoparagrafo"/>
    <w:rsid w:val="00EF4A04"/>
  </w:style>
  <w:style w:type="character" w:customStyle="1" w:styleId="label">
    <w:name w:val="label"/>
    <w:basedOn w:val="Carpredefinitoparagrafo"/>
    <w:rsid w:val="00EF4A04"/>
  </w:style>
  <w:style w:type="character" w:customStyle="1" w:styleId="legislatura">
    <w:name w:val="legislatura"/>
    <w:basedOn w:val="Carpredefinitoparagrafo"/>
    <w:rsid w:val="00EF4A04"/>
  </w:style>
  <w:style w:type="character" w:customStyle="1" w:styleId="seduta">
    <w:name w:val="seduta"/>
    <w:basedOn w:val="Carpredefinitoparagrafo"/>
    <w:rsid w:val="00EF4A04"/>
  </w:style>
  <w:style w:type="character" w:customStyle="1" w:styleId="dataseduta">
    <w:name w:val="dataseduta"/>
    <w:basedOn w:val="Carpredefinitoparagrafo"/>
    <w:rsid w:val="00EF4A04"/>
  </w:style>
  <w:style w:type="character" w:customStyle="1" w:styleId="primofirmatario">
    <w:name w:val="primofirmatario"/>
    <w:basedOn w:val="Carpredefinitoparagrafo"/>
    <w:rsid w:val="00EF4A04"/>
  </w:style>
  <w:style w:type="character" w:customStyle="1" w:styleId="gruppoparlamentare">
    <w:name w:val="gruppoparlamentare"/>
    <w:basedOn w:val="Carpredefinitoparagrafo"/>
    <w:rsid w:val="00EF4A04"/>
  </w:style>
  <w:style w:type="paragraph" w:styleId="NormaleWeb">
    <w:name w:val="Normal (Web)"/>
    <w:basedOn w:val="Normale"/>
    <w:uiPriority w:val="99"/>
    <w:semiHidden/>
    <w:unhideWhenUsed/>
    <w:rsid w:val="00EF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stinatari">
    <w:name w:val="destinatari"/>
    <w:basedOn w:val="Carpredefinitoparagrafo"/>
    <w:rsid w:val="00EF4A04"/>
  </w:style>
  <w:style w:type="character" w:styleId="Enfasicorsivo">
    <w:name w:val="Emphasis"/>
    <w:basedOn w:val="Carpredefinitoparagrafo"/>
    <w:uiPriority w:val="20"/>
    <w:qFormat/>
    <w:rsid w:val="00EF4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F4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EF4A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F4A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F4A04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nominativo">
    <w:name w:val="nominativo"/>
    <w:basedOn w:val="Carpredefinitoparagrafo"/>
    <w:rsid w:val="00EF4A04"/>
  </w:style>
  <w:style w:type="character" w:customStyle="1" w:styleId="label">
    <w:name w:val="label"/>
    <w:basedOn w:val="Carpredefinitoparagrafo"/>
    <w:rsid w:val="00EF4A04"/>
  </w:style>
  <w:style w:type="character" w:customStyle="1" w:styleId="legislatura">
    <w:name w:val="legislatura"/>
    <w:basedOn w:val="Carpredefinitoparagrafo"/>
    <w:rsid w:val="00EF4A04"/>
  </w:style>
  <w:style w:type="character" w:customStyle="1" w:styleId="seduta">
    <w:name w:val="seduta"/>
    <w:basedOn w:val="Carpredefinitoparagrafo"/>
    <w:rsid w:val="00EF4A04"/>
  </w:style>
  <w:style w:type="character" w:customStyle="1" w:styleId="dataseduta">
    <w:name w:val="dataseduta"/>
    <w:basedOn w:val="Carpredefinitoparagrafo"/>
    <w:rsid w:val="00EF4A04"/>
  </w:style>
  <w:style w:type="character" w:customStyle="1" w:styleId="primofirmatario">
    <w:name w:val="primofirmatario"/>
    <w:basedOn w:val="Carpredefinitoparagrafo"/>
    <w:rsid w:val="00EF4A04"/>
  </w:style>
  <w:style w:type="character" w:customStyle="1" w:styleId="gruppoparlamentare">
    <w:name w:val="gruppoparlamentare"/>
    <w:basedOn w:val="Carpredefinitoparagrafo"/>
    <w:rsid w:val="00EF4A04"/>
  </w:style>
  <w:style w:type="paragraph" w:styleId="NormaleWeb">
    <w:name w:val="Normal (Web)"/>
    <w:basedOn w:val="Normale"/>
    <w:uiPriority w:val="99"/>
    <w:semiHidden/>
    <w:unhideWhenUsed/>
    <w:rsid w:val="00EF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stinatari">
    <w:name w:val="destinatari"/>
    <w:basedOn w:val="Carpredefinitoparagrafo"/>
    <w:rsid w:val="00EF4A04"/>
  </w:style>
  <w:style w:type="character" w:styleId="Enfasicorsivo">
    <w:name w:val="Emphasis"/>
    <w:basedOn w:val="Carpredefinitoparagrafo"/>
    <w:uiPriority w:val="20"/>
    <w:qFormat/>
    <w:rsid w:val="00EF4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5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58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49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5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261">
                  <w:marLeft w:val="480"/>
                  <w:marRight w:val="480"/>
                  <w:marTop w:val="480"/>
                  <w:marBottom w:val="480"/>
                  <w:divBdr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i.camera.it/apps/commonServices/getDocumento.ashx?sezione=deputati&amp;tipoDoc=schedaDeputato&amp;idPersona=306139&amp;idLegislatura=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Siracusano</dc:creator>
  <cp:lastModifiedBy>Domenico Siracusano</cp:lastModifiedBy>
  <cp:revision>1</cp:revision>
  <dcterms:created xsi:type="dcterms:W3CDTF">2020-07-29T14:53:00Z</dcterms:created>
  <dcterms:modified xsi:type="dcterms:W3CDTF">2020-07-29T14:55:00Z</dcterms:modified>
</cp:coreProperties>
</file>